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3" w:rsidRDefault="00604073" w:rsidP="0069748A">
      <w:pPr>
        <w:spacing w:before="11" w:line="360" w:lineRule="auto"/>
        <w:jc w:val="center"/>
        <w:rPr>
          <w:rFonts w:asciiTheme="majorHAnsi" w:hAnsiTheme="majorHAnsi" w:cstheme="majorHAnsi"/>
          <w:color w:val="161113"/>
          <w:spacing w:val="-2"/>
          <w:w w:val="105"/>
          <w:sz w:val="24"/>
          <w:szCs w:val="24"/>
        </w:rPr>
      </w:pPr>
      <w:r w:rsidRPr="0069748A">
        <w:rPr>
          <w:rFonts w:asciiTheme="majorHAnsi" w:hAnsiTheme="majorHAnsi" w:cstheme="majorHAnsi"/>
          <w:color w:val="161113"/>
          <w:w w:val="105"/>
          <w:sz w:val="24"/>
          <w:szCs w:val="24"/>
        </w:rPr>
        <w:t>Alternative</w:t>
      </w:r>
      <w:r w:rsidRPr="0069748A">
        <w:rPr>
          <w:rFonts w:asciiTheme="majorHAnsi" w:hAnsiTheme="majorHAnsi" w:cstheme="majorHAnsi"/>
          <w:color w:val="161113"/>
          <w:spacing w:val="42"/>
          <w:w w:val="105"/>
          <w:sz w:val="24"/>
          <w:szCs w:val="24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  <w:sz w:val="24"/>
          <w:szCs w:val="24"/>
        </w:rPr>
        <w:t>Media</w:t>
      </w:r>
      <w:r w:rsidRPr="0069748A">
        <w:rPr>
          <w:rFonts w:asciiTheme="majorHAnsi" w:hAnsiTheme="majorHAnsi" w:cstheme="majorHAnsi"/>
          <w:color w:val="161113"/>
          <w:spacing w:val="40"/>
          <w:w w:val="105"/>
          <w:sz w:val="24"/>
          <w:szCs w:val="24"/>
        </w:rPr>
        <w:t xml:space="preserve"> </w:t>
      </w:r>
      <w:r w:rsidRPr="0069748A">
        <w:rPr>
          <w:rFonts w:asciiTheme="majorHAnsi" w:hAnsiTheme="majorHAnsi" w:cstheme="majorHAnsi"/>
          <w:color w:val="161113"/>
          <w:spacing w:val="-2"/>
          <w:w w:val="105"/>
          <w:sz w:val="24"/>
          <w:szCs w:val="24"/>
        </w:rPr>
        <w:t>Agreement</w:t>
      </w:r>
    </w:p>
    <w:p w:rsidR="006A0BFF" w:rsidRPr="0069748A" w:rsidRDefault="006A0BFF" w:rsidP="0069748A">
      <w:pPr>
        <w:spacing w:before="11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A0BFF">
        <w:rPr>
          <w:rFonts w:asciiTheme="majorHAnsi" w:hAnsiTheme="majorHAnsi" w:cstheme="majorHAnsi"/>
          <w:color w:val="161113"/>
          <w:spacing w:val="-2"/>
          <w:w w:val="105"/>
          <w:sz w:val="24"/>
          <w:szCs w:val="24"/>
        </w:rPr>
        <w:t>Feather River College</w:t>
      </w:r>
    </w:p>
    <w:p w:rsidR="0048583B" w:rsidRPr="0069748A" w:rsidRDefault="0048583B" w:rsidP="003338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04073" w:rsidRPr="0069748A" w:rsidRDefault="00604073" w:rsidP="007C25A2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  <w:color w:val="161113"/>
          <w:spacing w:val="-2"/>
        </w:rPr>
      </w:pPr>
      <w:r w:rsidRPr="0069748A">
        <w:rPr>
          <w:rFonts w:asciiTheme="majorHAnsi" w:hAnsiTheme="majorHAnsi" w:cstheme="majorHAnsi"/>
          <w:color w:val="161113"/>
        </w:rPr>
        <w:t>I</w:t>
      </w:r>
      <w:r w:rsidRPr="0069748A">
        <w:rPr>
          <w:rFonts w:asciiTheme="majorHAnsi" w:hAnsiTheme="majorHAnsi" w:cstheme="majorHAnsi"/>
          <w:color w:val="796B64"/>
        </w:rPr>
        <w:t>,</w:t>
      </w:r>
      <w:r w:rsidRPr="0069748A">
        <w:rPr>
          <w:rFonts w:asciiTheme="majorHAnsi" w:hAnsiTheme="majorHAnsi" w:cstheme="majorHAnsi"/>
          <w:color w:val="796B64"/>
          <w:spacing w:val="-16"/>
        </w:rPr>
        <w:t xml:space="preserve"> </w:t>
      </w:r>
      <w:r w:rsidRPr="0069748A">
        <w:rPr>
          <w:rFonts w:asciiTheme="majorHAnsi" w:hAnsiTheme="majorHAnsi" w:cstheme="majorHAnsi"/>
          <w:color w:val="282626"/>
        </w:rPr>
        <w:t xml:space="preserve">hereby </w:t>
      </w:r>
      <w:r w:rsidRPr="0069748A">
        <w:rPr>
          <w:rFonts w:asciiTheme="majorHAnsi" w:hAnsiTheme="majorHAnsi" w:cstheme="majorHAnsi"/>
          <w:color w:val="161113"/>
        </w:rPr>
        <w:t>referred to as the "Student</w:t>
      </w:r>
      <w:r w:rsidRPr="0069748A">
        <w:rPr>
          <w:rFonts w:asciiTheme="majorHAnsi" w:hAnsiTheme="majorHAnsi" w:cstheme="majorHAnsi"/>
          <w:color w:val="3B3634"/>
        </w:rPr>
        <w:t xml:space="preserve">," </w:t>
      </w:r>
      <w:r w:rsidRPr="0069748A">
        <w:rPr>
          <w:rFonts w:asciiTheme="majorHAnsi" w:hAnsiTheme="majorHAnsi" w:cstheme="majorHAnsi"/>
          <w:color w:val="282626"/>
        </w:rPr>
        <w:t xml:space="preserve">affirms that </w:t>
      </w:r>
      <w:r w:rsidRPr="0069748A">
        <w:rPr>
          <w:rFonts w:asciiTheme="majorHAnsi" w:hAnsiTheme="majorHAnsi" w:cstheme="majorHAnsi"/>
          <w:color w:val="161113"/>
        </w:rPr>
        <w:t xml:space="preserve">by </w:t>
      </w:r>
      <w:r w:rsidRPr="0069748A">
        <w:rPr>
          <w:rFonts w:asciiTheme="majorHAnsi" w:hAnsiTheme="majorHAnsi" w:cstheme="majorHAnsi"/>
          <w:color w:val="282626"/>
        </w:rPr>
        <w:t>signing</w:t>
      </w:r>
      <w:r w:rsidRPr="0069748A">
        <w:rPr>
          <w:rFonts w:asciiTheme="majorHAnsi" w:hAnsiTheme="majorHAnsi" w:cstheme="majorHAnsi"/>
          <w:color w:val="282626"/>
          <w:spacing w:val="-4"/>
        </w:rPr>
        <w:t xml:space="preserve"> </w:t>
      </w:r>
      <w:r w:rsidR="007C25A2">
        <w:rPr>
          <w:rFonts w:asciiTheme="majorHAnsi" w:hAnsiTheme="majorHAnsi" w:cstheme="majorHAnsi"/>
          <w:color w:val="282626"/>
        </w:rPr>
        <w:t>this statement, I</w:t>
      </w:r>
      <w:r w:rsidRPr="0069748A">
        <w:rPr>
          <w:rFonts w:asciiTheme="majorHAnsi" w:hAnsiTheme="majorHAnsi" w:cstheme="majorHAnsi"/>
          <w:color w:val="161113"/>
        </w:rPr>
        <w:t xml:space="preserve"> </w:t>
      </w:r>
      <w:r w:rsidRPr="0069748A">
        <w:rPr>
          <w:rFonts w:asciiTheme="majorHAnsi" w:hAnsiTheme="majorHAnsi" w:cstheme="majorHAnsi"/>
          <w:color w:val="3B3634"/>
        </w:rPr>
        <w:t>ag</w:t>
      </w:r>
      <w:r w:rsidR="007C25A2">
        <w:rPr>
          <w:rFonts w:asciiTheme="majorHAnsi" w:hAnsiTheme="majorHAnsi" w:cstheme="majorHAnsi"/>
          <w:color w:val="161113"/>
        </w:rPr>
        <w:t>ree</w:t>
      </w:r>
      <w:r w:rsidRPr="0069748A">
        <w:rPr>
          <w:rFonts w:asciiTheme="majorHAnsi" w:hAnsiTheme="majorHAnsi" w:cstheme="majorHAnsi"/>
          <w:color w:val="161113"/>
          <w:spacing w:val="-14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to the f</w:t>
      </w:r>
      <w:r w:rsidR="007C25A2">
        <w:rPr>
          <w:rFonts w:asciiTheme="majorHAnsi" w:hAnsiTheme="majorHAnsi" w:cstheme="majorHAnsi"/>
          <w:color w:val="161113"/>
        </w:rPr>
        <w:t>ollowing uses of alternative media</w:t>
      </w:r>
      <w:r w:rsidRPr="0069748A">
        <w:rPr>
          <w:rFonts w:asciiTheme="majorHAnsi" w:hAnsiTheme="majorHAnsi" w:cstheme="majorHAnsi"/>
          <w:color w:val="161113"/>
        </w:rPr>
        <w:t xml:space="preserve">, </w:t>
      </w:r>
      <w:r w:rsidRPr="0069748A">
        <w:rPr>
          <w:rFonts w:asciiTheme="majorHAnsi" w:hAnsiTheme="majorHAnsi" w:cstheme="majorHAnsi"/>
          <w:color w:val="282626"/>
        </w:rPr>
        <w:t xml:space="preserve">as </w:t>
      </w:r>
      <w:r w:rsidRPr="0069748A">
        <w:rPr>
          <w:rFonts w:asciiTheme="majorHAnsi" w:hAnsiTheme="majorHAnsi" w:cstheme="majorHAnsi"/>
          <w:color w:val="161113"/>
        </w:rPr>
        <w:t xml:space="preserve">outlined </w:t>
      </w:r>
      <w:r w:rsidRPr="0069748A">
        <w:rPr>
          <w:rFonts w:asciiTheme="majorHAnsi" w:hAnsiTheme="majorHAnsi" w:cstheme="majorHAnsi"/>
          <w:color w:val="282626"/>
        </w:rPr>
        <w:t xml:space="preserve">in the terms </w:t>
      </w:r>
      <w:r w:rsidRPr="0069748A">
        <w:rPr>
          <w:rFonts w:asciiTheme="majorHAnsi" w:hAnsiTheme="majorHAnsi" w:cstheme="majorHAnsi"/>
          <w:color w:val="161113"/>
        </w:rPr>
        <w:t xml:space="preserve">of this </w:t>
      </w:r>
      <w:r w:rsidRPr="0069748A">
        <w:rPr>
          <w:rFonts w:asciiTheme="majorHAnsi" w:hAnsiTheme="majorHAnsi" w:cstheme="majorHAnsi"/>
          <w:color w:val="3B3634"/>
          <w:spacing w:val="-2"/>
        </w:rPr>
        <w:t>ag</w:t>
      </w:r>
      <w:r w:rsidRPr="0069748A">
        <w:rPr>
          <w:rFonts w:asciiTheme="majorHAnsi" w:hAnsiTheme="majorHAnsi" w:cstheme="majorHAnsi"/>
          <w:color w:val="161113"/>
          <w:spacing w:val="-2"/>
        </w:rPr>
        <w:t>reement.</w:t>
      </w:r>
    </w:p>
    <w:p w:rsidR="006A0BFF" w:rsidRDefault="006A0BFF" w:rsidP="0069748A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  <w:color w:val="3B3634"/>
        </w:rPr>
      </w:pPr>
    </w:p>
    <w:p w:rsidR="00604073" w:rsidRPr="0069748A" w:rsidRDefault="00604073" w:rsidP="0069748A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  <w:color w:val="4B4846"/>
        </w:rPr>
      </w:pPr>
      <w:r w:rsidRPr="0069748A">
        <w:rPr>
          <w:rFonts w:asciiTheme="majorHAnsi" w:hAnsiTheme="majorHAnsi" w:cstheme="majorHAnsi"/>
          <w:color w:val="282626"/>
        </w:rPr>
        <w:t xml:space="preserve">Following documentation </w:t>
      </w:r>
      <w:r w:rsidRPr="0069748A">
        <w:rPr>
          <w:rFonts w:asciiTheme="majorHAnsi" w:hAnsiTheme="majorHAnsi" w:cstheme="majorHAnsi"/>
          <w:color w:val="3B3634"/>
        </w:rPr>
        <w:t>an</w:t>
      </w:r>
      <w:r w:rsidRPr="0069748A">
        <w:rPr>
          <w:rFonts w:asciiTheme="majorHAnsi" w:hAnsiTheme="majorHAnsi" w:cstheme="majorHAnsi"/>
          <w:color w:val="161113"/>
        </w:rPr>
        <w:t>d</w:t>
      </w:r>
      <w:r w:rsidRPr="0069748A">
        <w:rPr>
          <w:rFonts w:asciiTheme="majorHAnsi" w:hAnsiTheme="majorHAnsi" w:cstheme="majorHAnsi"/>
          <w:color w:val="161113"/>
          <w:spacing w:val="-15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individual assessment, it</w:t>
      </w:r>
      <w:r w:rsidRPr="0069748A">
        <w:rPr>
          <w:rFonts w:asciiTheme="majorHAnsi" w:hAnsiTheme="majorHAnsi" w:cstheme="majorHAnsi"/>
          <w:color w:val="161113"/>
          <w:spacing w:val="30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has been determined that the</w:t>
      </w:r>
      <w:r w:rsidRPr="0069748A">
        <w:rPr>
          <w:rFonts w:asciiTheme="majorHAnsi" w:hAnsiTheme="majorHAnsi" w:cstheme="majorHAnsi"/>
          <w:color w:val="161113"/>
          <w:spacing w:val="-2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 xml:space="preserve">Student's </w:t>
      </w:r>
      <w:r w:rsidRPr="0069748A">
        <w:rPr>
          <w:rFonts w:asciiTheme="majorHAnsi" w:hAnsiTheme="majorHAnsi" w:cstheme="majorHAnsi"/>
          <w:color w:val="282626"/>
        </w:rPr>
        <w:t>accommodations</w:t>
      </w:r>
      <w:r w:rsidRPr="0069748A">
        <w:rPr>
          <w:rFonts w:asciiTheme="majorHAnsi" w:hAnsiTheme="majorHAnsi" w:cstheme="majorHAnsi"/>
          <w:color w:val="282626"/>
          <w:spacing w:val="-8"/>
        </w:rPr>
        <w:t xml:space="preserve"> </w:t>
      </w:r>
      <w:r w:rsidRPr="0069748A">
        <w:rPr>
          <w:rFonts w:asciiTheme="majorHAnsi" w:hAnsiTheme="majorHAnsi" w:cstheme="majorHAnsi"/>
          <w:color w:val="282626"/>
        </w:rPr>
        <w:t xml:space="preserve">include </w:t>
      </w:r>
      <w:r w:rsidRPr="0069748A">
        <w:rPr>
          <w:rFonts w:asciiTheme="majorHAnsi" w:hAnsiTheme="majorHAnsi" w:cstheme="majorHAnsi"/>
          <w:color w:val="161113"/>
        </w:rPr>
        <w:t>the</w:t>
      </w:r>
      <w:r w:rsidRPr="0069748A">
        <w:rPr>
          <w:rFonts w:asciiTheme="majorHAnsi" w:hAnsiTheme="majorHAnsi" w:cstheme="majorHAnsi"/>
          <w:color w:val="161113"/>
          <w:spacing w:val="-3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use of</w:t>
      </w:r>
      <w:r w:rsidRPr="0069748A">
        <w:rPr>
          <w:rFonts w:asciiTheme="majorHAnsi" w:hAnsiTheme="majorHAnsi" w:cstheme="majorHAnsi"/>
          <w:color w:val="161113"/>
          <w:spacing w:val="-4"/>
        </w:rPr>
        <w:t xml:space="preserve"> </w:t>
      </w:r>
      <w:r w:rsidR="007C25A2">
        <w:rPr>
          <w:rFonts w:asciiTheme="majorHAnsi" w:hAnsiTheme="majorHAnsi" w:cstheme="majorHAnsi"/>
          <w:color w:val="161113"/>
        </w:rPr>
        <w:t>alternative media</w:t>
      </w:r>
      <w:r w:rsidRPr="0069748A">
        <w:rPr>
          <w:rFonts w:asciiTheme="majorHAnsi" w:hAnsiTheme="majorHAnsi" w:cstheme="majorHAnsi"/>
          <w:color w:val="161113"/>
        </w:rPr>
        <w:t>. To assure proper use of</w:t>
      </w:r>
      <w:r w:rsidRPr="0069748A">
        <w:rPr>
          <w:rFonts w:asciiTheme="majorHAnsi" w:hAnsiTheme="majorHAnsi" w:cstheme="majorHAnsi"/>
          <w:color w:val="161113"/>
          <w:spacing w:val="-4"/>
        </w:rPr>
        <w:t xml:space="preserve"> </w:t>
      </w:r>
      <w:r w:rsidRPr="0069748A">
        <w:rPr>
          <w:rFonts w:asciiTheme="majorHAnsi" w:hAnsiTheme="majorHAnsi" w:cstheme="majorHAnsi"/>
          <w:color w:val="282626"/>
        </w:rPr>
        <w:t>the accommodation</w:t>
      </w:r>
      <w:r w:rsidRPr="0069748A">
        <w:rPr>
          <w:rFonts w:asciiTheme="majorHAnsi" w:hAnsiTheme="majorHAnsi" w:cstheme="majorHAnsi"/>
          <w:color w:val="282626"/>
          <w:spacing w:val="40"/>
        </w:rPr>
        <w:t xml:space="preserve"> </w:t>
      </w:r>
      <w:r w:rsidRPr="0069748A">
        <w:rPr>
          <w:rFonts w:asciiTheme="majorHAnsi" w:hAnsiTheme="majorHAnsi" w:cstheme="majorHAnsi"/>
          <w:color w:val="282626"/>
        </w:rPr>
        <w:t>within the confines</w:t>
      </w:r>
      <w:r w:rsidRPr="0069748A">
        <w:rPr>
          <w:rFonts w:asciiTheme="majorHAnsi" w:hAnsiTheme="majorHAnsi" w:cstheme="majorHAnsi"/>
          <w:color w:val="282626"/>
          <w:spacing w:val="-2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of</w:t>
      </w:r>
      <w:r w:rsidRPr="0069748A">
        <w:rPr>
          <w:rFonts w:asciiTheme="majorHAnsi" w:hAnsiTheme="majorHAnsi" w:cstheme="majorHAnsi"/>
          <w:color w:val="161113"/>
          <w:spacing w:val="-12"/>
        </w:rPr>
        <w:t xml:space="preserve"> </w:t>
      </w:r>
      <w:r w:rsidR="00AE05F2">
        <w:rPr>
          <w:rFonts w:asciiTheme="majorHAnsi" w:hAnsiTheme="majorHAnsi" w:cstheme="majorHAnsi"/>
          <w:color w:val="161113"/>
        </w:rPr>
        <w:t xml:space="preserve">an </w:t>
      </w:r>
      <w:r w:rsidRPr="0069748A">
        <w:rPr>
          <w:rFonts w:asciiTheme="majorHAnsi" w:hAnsiTheme="majorHAnsi" w:cstheme="majorHAnsi"/>
          <w:color w:val="161113"/>
        </w:rPr>
        <w:t>academic setting,</w:t>
      </w:r>
      <w:r w:rsidRPr="0069748A">
        <w:rPr>
          <w:rFonts w:asciiTheme="majorHAnsi" w:hAnsiTheme="majorHAnsi" w:cstheme="majorHAnsi"/>
          <w:color w:val="161113"/>
          <w:spacing w:val="-5"/>
        </w:rPr>
        <w:t xml:space="preserve"> </w:t>
      </w:r>
      <w:r w:rsidRPr="0069748A">
        <w:rPr>
          <w:rFonts w:asciiTheme="majorHAnsi" w:hAnsiTheme="majorHAnsi" w:cstheme="majorHAnsi"/>
          <w:color w:val="161113"/>
        </w:rPr>
        <w:t>these stipulations</w:t>
      </w:r>
      <w:r w:rsidRPr="0069748A">
        <w:rPr>
          <w:rFonts w:asciiTheme="majorHAnsi" w:hAnsiTheme="majorHAnsi" w:cstheme="majorHAnsi"/>
          <w:color w:val="161113"/>
          <w:spacing w:val="40"/>
        </w:rPr>
        <w:t xml:space="preserve"> </w:t>
      </w:r>
      <w:r w:rsidRPr="0069748A">
        <w:rPr>
          <w:rFonts w:asciiTheme="majorHAnsi" w:hAnsiTheme="majorHAnsi" w:cstheme="majorHAnsi"/>
          <w:color w:val="282626"/>
        </w:rPr>
        <w:t>are required</w:t>
      </w:r>
      <w:r w:rsidRPr="0069748A">
        <w:rPr>
          <w:rFonts w:asciiTheme="majorHAnsi" w:hAnsiTheme="majorHAnsi" w:cstheme="majorHAnsi"/>
          <w:color w:val="4B4846"/>
        </w:rPr>
        <w:t>.</w:t>
      </w:r>
    </w:p>
    <w:p w:rsidR="00604073" w:rsidRPr="0069748A" w:rsidRDefault="00604073" w:rsidP="0069748A">
      <w:pPr>
        <w:pStyle w:val="BodyText"/>
        <w:numPr>
          <w:ilvl w:val="0"/>
          <w:numId w:val="1"/>
        </w:numPr>
        <w:spacing w:line="480" w:lineRule="auto"/>
        <w:ind w:right="17"/>
        <w:jc w:val="both"/>
        <w:rPr>
          <w:rFonts w:asciiTheme="majorHAnsi" w:hAnsiTheme="majorHAnsi" w:cstheme="majorHAnsi"/>
        </w:rPr>
      </w:pPr>
      <w:r w:rsidRPr="0069748A">
        <w:rPr>
          <w:rFonts w:asciiTheme="majorHAnsi" w:hAnsiTheme="majorHAnsi" w:cstheme="majorHAnsi"/>
        </w:rPr>
        <w:t>The Student will only use these alternative media files for personal study.</w:t>
      </w:r>
    </w:p>
    <w:p w:rsidR="00604073" w:rsidRPr="0069748A" w:rsidRDefault="00604073" w:rsidP="0069748A">
      <w:pPr>
        <w:pStyle w:val="BodyText"/>
        <w:numPr>
          <w:ilvl w:val="0"/>
          <w:numId w:val="1"/>
        </w:numPr>
        <w:spacing w:line="480" w:lineRule="auto"/>
        <w:ind w:right="17"/>
        <w:jc w:val="both"/>
        <w:rPr>
          <w:rFonts w:asciiTheme="majorHAnsi" w:hAnsiTheme="majorHAnsi" w:cstheme="majorHAnsi"/>
        </w:rPr>
      </w:pPr>
      <w:r w:rsidRPr="0069748A">
        <w:rPr>
          <w:rFonts w:asciiTheme="majorHAnsi" w:hAnsiTheme="majorHAnsi" w:cstheme="majorHAnsi"/>
        </w:rPr>
        <w:t>The Student is prohibited from sharing these files with any other persons in any way.</w:t>
      </w:r>
    </w:p>
    <w:p w:rsidR="00604073" w:rsidRPr="0069748A" w:rsidRDefault="00604073" w:rsidP="0069748A">
      <w:pPr>
        <w:pStyle w:val="BodyText"/>
        <w:numPr>
          <w:ilvl w:val="0"/>
          <w:numId w:val="1"/>
        </w:numPr>
        <w:spacing w:line="480" w:lineRule="auto"/>
        <w:ind w:right="17"/>
        <w:jc w:val="both"/>
        <w:rPr>
          <w:rFonts w:asciiTheme="majorHAnsi" w:hAnsiTheme="majorHAnsi" w:cstheme="majorHAnsi"/>
        </w:rPr>
      </w:pPr>
      <w:r w:rsidRPr="0069748A">
        <w:rPr>
          <w:rFonts w:asciiTheme="majorHAnsi" w:hAnsiTheme="majorHAnsi" w:cstheme="majorHAnsi"/>
        </w:rPr>
        <w:t>The Student must provide a receipt or proof of ownership before receiving alternative media of any copyrighted book.</w:t>
      </w:r>
    </w:p>
    <w:p w:rsidR="00604073" w:rsidRPr="0069748A" w:rsidRDefault="00604073" w:rsidP="0069748A">
      <w:pPr>
        <w:pStyle w:val="BodyText"/>
        <w:numPr>
          <w:ilvl w:val="0"/>
          <w:numId w:val="1"/>
        </w:numPr>
        <w:spacing w:line="480" w:lineRule="auto"/>
        <w:ind w:right="17"/>
        <w:jc w:val="both"/>
        <w:rPr>
          <w:rFonts w:asciiTheme="majorHAnsi" w:hAnsiTheme="majorHAnsi" w:cstheme="majorHAnsi"/>
        </w:rPr>
      </w:pPr>
      <w:r w:rsidRPr="0069748A">
        <w:rPr>
          <w:rFonts w:asciiTheme="majorHAnsi" w:hAnsiTheme="majorHAnsi" w:cstheme="majorHAnsi"/>
        </w:rPr>
        <w:t>The Student must delete the alternative media files once the student no longer owns the eBook or physical copy of the book.</w:t>
      </w:r>
    </w:p>
    <w:p w:rsidR="00604073" w:rsidRDefault="00604073" w:rsidP="007C25A2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  <w:color w:val="4B4846"/>
          <w:w w:val="105"/>
        </w:rPr>
      </w:pPr>
      <w:r w:rsidRPr="0069748A">
        <w:rPr>
          <w:rFonts w:asciiTheme="majorHAnsi" w:hAnsiTheme="majorHAnsi" w:cstheme="majorHAnsi"/>
          <w:color w:val="282626"/>
          <w:w w:val="105"/>
        </w:rPr>
        <w:t>By</w:t>
      </w:r>
      <w:r w:rsidRPr="0069748A">
        <w:rPr>
          <w:rFonts w:asciiTheme="majorHAnsi" w:hAnsiTheme="majorHAnsi" w:cstheme="majorHAnsi"/>
          <w:color w:val="282626"/>
          <w:spacing w:val="-17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signing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this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statement,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the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Student</w:t>
      </w:r>
      <w:r w:rsidRPr="0069748A">
        <w:rPr>
          <w:rFonts w:asciiTheme="majorHAnsi" w:hAnsiTheme="majorHAnsi" w:cstheme="majorHAnsi"/>
          <w:color w:val="161113"/>
          <w:spacing w:val="-8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agrees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to adhere</w:t>
      </w:r>
      <w:r w:rsidRPr="0069748A">
        <w:rPr>
          <w:rFonts w:asciiTheme="majorHAnsi" w:hAnsiTheme="majorHAnsi" w:cstheme="majorHAnsi"/>
          <w:color w:val="161113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to</w:t>
      </w:r>
      <w:r w:rsidRPr="0069748A">
        <w:rPr>
          <w:rFonts w:asciiTheme="majorHAnsi" w:hAnsiTheme="majorHAnsi" w:cstheme="majorHAnsi"/>
          <w:color w:val="161113"/>
          <w:spacing w:val="-11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its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terms.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If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the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Student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does</w:t>
      </w:r>
      <w:r w:rsidRPr="0069748A">
        <w:rPr>
          <w:rFonts w:asciiTheme="majorHAnsi" w:hAnsiTheme="majorHAnsi" w:cstheme="majorHAnsi"/>
          <w:color w:val="282626"/>
          <w:spacing w:val="-16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not adhere</w:t>
      </w:r>
      <w:r w:rsidRPr="0069748A">
        <w:rPr>
          <w:rFonts w:asciiTheme="majorHAnsi" w:hAnsiTheme="majorHAnsi" w:cstheme="majorHAnsi"/>
          <w:color w:val="282626"/>
          <w:spacing w:val="-3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to the</w:t>
      </w:r>
      <w:r w:rsidRPr="0069748A">
        <w:rPr>
          <w:rFonts w:asciiTheme="majorHAnsi" w:hAnsiTheme="majorHAnsi" w:cstheme="majorHAnsi"/>
          <w:color w:val="161113"/>
          <w:spacing w:val="-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above terms and</w:t>
      </w:r>
      <w:r w:rsidRPr="0069748A">
        <w:rPr>
          <w:rFonts w:asciiTheme="majorHAnsi" w:hAnsiTheme="majorHAnsi" w:cstheme="majorHAnsi"/>
          <w:color w:val="161113"/>
          <w:spacing w:val="-4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breaks this</w:t>
      </w:r>
      <w:r w:rsidRPr="0069748A">
        <w:rPr>
          <w:rFonts w:asciiTheme="majorHAnsi" w:hAnsiTheme="majorHAnsi" w:cstheme="majorHAnsi"/>
          <w:color w:val="161113"/>
          <w:spacing w:val="-4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contract,</w:t>
      </w:r>
      <w:r w:rsidRPr="0069748A">
        <w:rPr>
          <w:rFonts w:asciiTheme="majorHAnsi" w:hAnsiTheme="majorHAnsi" w:cstheme="majorHAnsi"/>
          <w:color w:val="161113"/>
          <w:spacing w:val="-2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the</w:t>
      </w:r>
      <w:r w:rsidRPr="0069748A">
        <w:rPr>
          <w:rFonts w:asciiTheme="majorHAnsi" w:hAnsiTheme="majorHAnsi" w:cstheme="majorHAnsi"/>
          <w:color w:val="161113"/>
          <w:spacing w:val="-7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Student may be</w:t>
      </w:r>
      <w:r w:rsidRPr="0069748A">
        <w:rPr>
          <w:rFonts w:asciiTheme="majorHAnsi" w:hAnsiTheme="majorHAnsi" w:cstheme="majorHAnsi"/>
          <w:color w:val="282626"/>
          <w:spacing w:val="-8"/>
          <w:w w:val="105"/>
        </w:rPr>
        <w:t xml:space="preserve"> </w:t>
      </w:r>
      <w:r w:rsidRPr="0069748A">
        <w:rPr>
          <w:rFonts w:asciiTheme="majorHAnsi" w:hAnsiTheme="majorHAnsi" w:cstheme="majorHAnsi"/>
          <w:color w:val="282626"/>
          <w:w w:val="105"/>
        </w:rPr>
        <w:t>reported</w:t>
      </w:r>
      <w:r w:rsidRPr="0069748A">
        <w:rPr>
          <w:rFonts w:asciiTheme="majorHAnsi" w:hAnsiTheme="majorHAnsi" w:cstheme="majorHAnsi"/>
          <w:color w:val="282626"/>
          <w:spacing w:val="-3"/>
          <w:w w:val="105"/>
        </w:rPr>
        <w:t xml:space="preserve"> </w:t>
      </w:r>
      <w:r w:rsidR="0069748A">
        <w:rPr>
          <w:rFonts w:asciiTheme="majorHAnsi" w:hAnsiTheme="majorHAnsi" w:cstheme="majorHAnsi"/>
          <w:color w:val="282626"/>
          <w:w w:val="105"/>
        </w:rPr>
        <w:t xml:space="preserve">to the VP of Student Services </w:t>
      </w:r>
      <w:r w:rsidRPr="0069748A">
        <w:rPr>
          <w:rFonts w:asciiTheme="majorHAnsi" w:hAnsiTheme="majorHAnsi" w:cstheme="majorHAnsi"/>
          <w:color w:val="161113"/>
          <w:w w:val="105"/>
        </w:rPr>
        <w:t>for an</w:t>
      </w:r>
      <w:r w:rsidRPr="0069748A">
        <w:rPr>
          <w:rFonts w:asciiTheme="majorHAnsi" w:hAnsiTheme="majorHAnsi" w:cstheme="majorHAnsi"/>
          <w:color w:val="161113"/>
          <w:spacing w:val="-4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investigation of</w:t>
      </w:r>
      <w:r w:rsidRPr="0069748A">
        <w:rPr>
          <w:rFonts w:asciiTheme="majorHAnsi" w:hAnsiTheme="majorHAnsi" w:cstheme="majorHAnsi"/>
          <w:color w:val="161113"/>
          <w:spacing w:val="-13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>the</w:t>
      </w:r>
      <w:r w:rsidRPr="0069748A">
        <w:rPr>
          <w:rFonts w:asciiTheme="majorHAnsi" w:hAnsiTheme="majorHAnsi" w:cstheme="majorHAnsi"/>
          <w:color w:val="161113"/>
          <w:spacing w:val="-6"/>
          <w:w w:val="105"/>
        </w:rPr>
        <w:t xml:space="preserve"> </w:t>
      </w:r>
      <w:r w:rsidRPr="0069748A">
        <w:rPr>
          <w:rFonts w:asciiTheme="majorHAnsi" w:hAnsiTheme="majorHAnsi" w:cstheme="majorHAnsi"/>
          <w:color w:val="161113"/>
          <w:w w:val="105"/>
        </w:rPr>
        <w:t xml:space="preserve">Student's </w:t>
      </w:r>
      <w:r w:rsidR="006A0BFF">
        <w:rPr>
          <w:rFonts w:asciiTheme="majorHAnsi" w:hAnsiTheme="majorHAnsi" w:cstheme="majorHAnsi"/>
          <w:color w:val="282626"/>
          <w:w w:val="105"/>
        </w:rPr>
        <w:t>conduct</w:t>
      </w:r>
      <w:r w:rsidRPr="0069748A">
        <w:rPr>
          <w:rFonts w:asciiTheme="majorHAnsi" w:hAnsiTheme="majorHAnsi" w:cstheme="majorHAnsi"/>
          <w:color w:val="4B4846"/>
          <w:w w:val="105"/>
        </w:rPr>
        <w:t>.</w:t>
      </w:r>
    </w:p>
    <w:p w:rsidR="00AE05F2" w:rsidRPr="0069748A" w:rsidRDefault="00AE05F2" w:rsidP="007C25A2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</w:rPr>
      </w:pPr>
    </w:p>
    <w:p w:rsidR="0069748A" w:rsidRDefault="0069748A" w:rsidP="0069748A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9748A" w:rsidRPr="0069748A" w:rsidRDefault="0069748A" w:rsidP="006A0BFF">
      <w:pPr>
        <w:pStyle w:val="BodyText"/>
        <w:spacing w:line="360" w:lineRule="auto"/>
        <w:ind w:left="0" w:right="17"/>
        <w:jc w:val="both"/>
        <w:rPr>
          <w:rFonts w:asciiTheme="majorHAnsi" w:hAnsiTheme="majorHAnsi" w:cstheme="majorHAnsi"/>
        </w:rPr>
      </w:pPr>
    </w:p>
    <w:sectPr w:rsidR="0069748A" w:rsidRPr="0069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6E9"/>
    <w:multiLevelType w:val="hybridMultilevel"/>
    <w:tmpl w:val="681EC05C"/>
    <w:lvl w:ilvl="0" w:tplc="04090011">
      <w:start w:val="1"/>
      <w:numFmt w:val="decimal"/>
      <w:lvlText w:val="%1)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73"/>
    <w:rsid w:val="001156E4"/>
    <w:rsid w:val="00333813"/>
    <w:rsid w:val="0048583B"/>
    <w:rsid w:val="00604073"/>
    <w:rsid w:val="0069748A"/>
    <w:rsid w:val="006A0BFF"/>
    <w:rsid w:val="007439D5"/>
    <w:rsid w:val="007C25A2"/>
    <w:rsid w:val="0094377B"/>
    <w:rsid w:val="00AE05F2"/>
    <w:rsid w:val="00F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0E9D1-D7B9-4152-96EC-A4BAC3C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40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39D5"/>
    <w:pPr>
      <w:ind w:left="151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39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439D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Westmoreland</dc:creator>
  <cp:keywords/>
  <dc:description/>
  <cp:lastModifiedBy>Danielle Westmoreland</cp:lastModifiedBy>
  <cp:revision>3</cp:revision>
  <cp:lastPrinted>2024-02-01T16:40:00Z</cp:lastPrinted>
  <dcterms:created xsi:type="dcterms:W3CDTF">2024-03-27T17:43:00Z</dcterms:created>
  <dcterms:modified xsi:type="dcterms:W3CDTF">2024-03-27T17:55:00Z</dcterms:modified>
</cp:coreProperties>
</file>